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Rekrytera och behåll personal i Bräcke – attraktiv arbetsgivare för vård, skola och 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kommun har 675 anställda (äldre siffra) och står inför stora utmaningar med rekrytering på grund av befolkningsminskning i arbetsför ålder (prognos -12 %). Vakanser i vård, skola och omsorg riskerar kvaliteten. Kommunplanen betonar vikten av att vara attraktiv arbetsgivare med mål om sjukfrånvaro ≤6,5 % och medarbetarengagemang (HME) ≥80 %. (kommunplan 2026–2028 PDF, bracke.se lediga jobb).</w:t>
      </w:r>
    </w:p>
    <w:p>
      <w:pPr>
        <w:spacing w:after="100"/>
      </w:pPr>
      <w:r>
        <w:t xml:space="preserve">Konkurrensen om personal är hård i glesbygd. Bra arbetsvillkor, boende, utveckling och balans mellan jobb och fritid är avgörande. Kommunen har visselblåsarfunktion och intranät men behöver mer proaktiva insatser.</w:t>
      </w:r>
    </w:p>
    <w:p>
      <w:pPr>
        <w:spacing w:after="100"/>
      </w:pPr>
      <w:r>
        <w:t xml:space="preserve">Moderaterna vill att Bräcke blir en kommun där man vill jobba och bo. En strategi för kompetensförsörjning, boendestöd och attraktiva villkor stärker välfärden och kommunens ekonomi långsiktigt.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strategi för kompetensförsörjning och attraktiv arbetsgivare 2026–2028 med fokus på rekrytering, behållning, boendeincitament och ledarskapsutveckling, samt redovisa till kommunfullmäktige senast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riktade insatser som personalförmåner, vidareutbildning, boendestöd för nyrekryterade och uppföljning av HME-index och sjukfrånvaro.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och införa flexiblare arbetstider, distansmöjligheter där lämpligt samt samverkan med andra kommuner/förbund för gemensam rekrytering och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personalstatistik, rekryteringsresultat, medarbetarundersökningar och effekter av insatser till kommunfullmäktige.</w:t>
      </w:r>
    </w:p>
    <w:p>
      <w:pPr>
        <w:spacing w:before="360"/>
      </w:pPr>
    </w:p>
    <w:p>
      <w:r>
        <w:t xml:space="preserve">Bräcke,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2026-06-06T01:48:20.289Z</dcterms:created>
  <dcterms:modified xsi:type="dcterms:W3CDTF">2026-06-06T01:48:20.289Z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